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D5" w:rsidRDefault="00785400" w:rsidP="00785400">
      <w:pPr>
        <w:jc w:val="center"/>
      </w:pPr>
      <w:r w:rsidRPr="00785400">
        <w:rPr>
          <w:noProof/>
          <w:lang w:eastAsia="it-IT"/>
        </w:rPr>
        <w:drawing>
          <wp:inline distT="0" distB="0" distL="0" distR="0">
            <wp:extent cx="3683635" cy="1984375"/>
            <wp:effectExtent l="19050" t="0" r="0" b="0"/>
            <wp:docPr id="1" name="Immagine 1" descr="C:\Users\Vitaliano\Desktop\associazione\logo fondazione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ano\Desktop\associazione\logo fondazione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00" w:rsidRDefault="005932D8" w:rsidP="00785400">
      <w:pPr>
        <w:jc w:val="center"/>
      </w:pPr>
      <w:r>
        <w:t>Curriculum</w:t>
      </w:r>
    </w:p>
    <w:tbl>
      <w:tblPr>
        <w:tblStyle w:val="Grigliatabella"/>
        <w:tblW w:w="0" w:type="auto"/>
        <w:tblLook w:val="04A0"/>
      </w:tblPr>
      <w:tblGrid>
        <w:gridCol w:w="1384"/>
        <w:gridCol w:w="8394"/>
      </w:tblGrid>
      <w:tr w:rsidR="005932D8" w:rsidTr="005932D8">
        <w:tc>
          <w:tcPr>
            <w:tcW w:w="1384" w:type="dxa"/>
          </w:tcPr>
          <w:p w:rsidR="005932D8" w:rsidRDefault="00F44259" w:rsidP="00785400">
            <w:pPr>
              <w:jc w:val="center"/>
            </w:pPr>
            <w:r>
              <w:t>199</w:t>
            </w:r>
            <w:r w:rsidR="005932D8">
              <w:t>5</w:t>
            </w:r>
          </w:p>
        </w:tc>
        <w:tc>
          <w:tcPr>
            <w:tcW w:w="8394" w:type="dxa"/>
          </w:tcPr>
          <w:p w:rsidR="005932D8" w:rsidRDefault="005932D8" w:rsidP="00785400">
            <w:pPr>
              <w:jc w:val="center"/>
            </w:pPr>
            <w:r>
              <w:t xml:space="preserve">Nasce la Fondazione Pina </w:t>
            </w:r>
            <w:proofErr w:type="spellStart"/>
            <w:r>
              <w:t>Gigliotti</w:t>
            </w:r>
            <w:proofErr w:type="spellEnd"/>
            <w:r>
              <w:t xml:space="preserve">, istituita senza fini di lucro (ONLUS) per volontà della famiglia </w:t>
            </w:r>
            <w:proofErr w:type="spellStart"/>
            <w:r>
              <w:t>Gigliotti</w:t>
            </w:r>
            <w:proofErr w:type="spellEnd"/>
            <w:r>
              <w:t xml:space="preserve"> per mantenere viva, in modo concreto ed efficace, la memoria della sorella, prof.ssa Pina </w:t>
            </w:r>
            <w:proofErr w:type="spellStart"/>
            <w:r>
              <w:t>Gigliotti</w:t>
            </w:r>
            <w:proofErr w:type="spellEnd"/>
            <w:r>
              <w:t>.</w:t>
            </w:r>
          </w:p>
          <w:p w:rsidR="005932D8" w:rsidRDefault="005932D8" w:rsidP="00785400">
            <w:pPr>
              <w:jc w:val="center"/>
            </w:pPr>
            <w:r>
              <w:t>Obiettivi principali della Fondazione</w:t>
            </w:r>
            <w:proofErr w:type="gramStart"/>
            <w:r>
              <w:t xml:space="preserve">  </w:t>
            </w:r>
            <w:proofErr w:type="gramEnd"/>
            <w:r>
              <w:t>(art. 2…)sono:</w:t>
            </w:r>
          </w:p>
          <w:p w:rsidR="005932D8" w:rsidRDefault="005932D8" w:rsidP="00722937">
            <w:pPr>
              <w:pStyle w:val="Paragrafoelenco"/>
              <w:numPr>
                <w:ilvl w:val="0"/>
                <w:numId w:val="6"/>
              </w:numPr>
              <w:jc w:val="center"/>
            </w:pPr>
            <w:r>
              <w:t xml:space="preserve">Promuovere e favorire la diffusione della cultura e predisporre i giovani volenterosi all’amore per lo studio mediante l’assegnazione di borse di studio e premi ad autori di opere riguardanti discipline umanistiche, letterarie e storiche, </w:t>
            </w:r>
            <w:proofErr w:type="gramStart"/>
            <w:r>
              <w:t>nonché</w:t>
            </w:r>
            <w:proofErr w:type="gramEnd"/>
            <w:r>
              <w:t xml:space="preserve"> di altri premi e borse di studio che il Consiglio di Amministrazione riterrà di istituire e trattare.</w:t>
            </w:r>
          </w:p>
          <w:p w:rsidR="005932D8" w:rsidRDefault="005932D8" w:rsidP="00722937">
            <w:pPr>
              <w:pStyle w:val="Paragrafoelenco"/>
              <w:numPr>
                <w:ilvl w:val="0"/>
                <w:numId w:val="6"/>
              </w:numPr>
              <w:jc w:val="center"/>
            </w:pPr>
            <w:r>
              <w:t xml:space="preserve">Promuovere, riaffermare </w:t>
            </w:r>
            <w:proofErr w:type="gramStart"/>
            <w:r>
              <w:t>ed</w:t>
            </w:r>
            <w:proofErr w:type="gramEnd"/>
            <w:r>
              <w:t xml:space="preserve"> attuare diritti fondamentali dei minori bisognosi o in disagio senza distinzione di razza, sesso, religione o di altro genere mediante sussidi in denaro e in natura</w:t>
            </w:r>
            <w:r w:rsidR="00722937">
              <w:t>,</w:t>
            </w:r>
            <w:r>
              <w:t xml:space="preserve"> in base alle risorse disponibili.</w:t>
            </w:r>
          </w:p>
          <w:p w:rsidR="005932D8" w:rsidRDefault="005932D8" w:rsidP="00785400">
            <w:pPr>
              <w:jc w:val="center"/>
            </w:pPr>
          </w:p>
        </w:tc>
      </w:tr>
      <w:tr w:rsidR="00F44259" w:rsidTr="005932D8">
        <w:tc>
          <w:tcPr>
            <w:tcW w:w="1384" w:type="dxa"/>
          </w:tcPr>
          <w:p w:rsidR="00F44259" w:rsidRDefault="00F44259" w:rsidP="00785400">
            <w:pPr>
              <w:jc w:val="center"/>
            </w:pPr>
          </w:p>
        </w:tc>
        <w:tc>
          <w:tcPr>
            <w:tcW w:w="8394" w:type="dxa"/>
          </w:tcPr>
          <w:p w:rsidR="00F44259" w:rsidRDefault="00F44259" w:rsidP="00785400">
            <w:pPr>
              <w:jc w:val="center"/>
            </w:pPr>
            <w:proofErr w:type="gramStart"/>
            <w:r>
              <w:t>La fondazione, sin dalla sua costituzione, opera in sintonia con gli scopi e gli interessi dell’Associazione Tribunale per la difesa dei dir</w:t>
            </w:r>
            <w:proofErr w:type="gramEnd"/>
            <w:r>
              <w:t>itti del Minore.</w:t>
            </w:r>
          </w:p>
          <w:p w:rsidR="00722937" w:rsidRDefault="00F44259" w:rsidP="00785400">
            <w:pPr>
              <w:jc w:val="center"/>
            </w:pPr>
            <w:r>
              <w:t xml:space="preserve"> L’art. </w:t>
            </w:r>
            <w:proofErr w:type="gramStart"/>
            <w:r>
              <w:t>4</w:t>
            </w:r>
            <w:proofErr w:type="gramEnd"/>
            <w:r>
              <w:t xml:space="preserve"> del relativo statuto prescrive che</w:t>
            </w:r>
            <w:r w:rsidR="00722937">
              <w:t>:</w:t>
            </w:r>
          </w:p>
          <w:p w:rsidR="00F44259" w:rsidRDefault="00F44259" w:rsidP="00722937">
            <w:pPr>
              <w:pStyle w:val="Paragrafoelenco"/>
              <w:numPr>
                <w:ilvl w:val="0"/>
                <w:numId w:val="7"/>
              </w:numPr>
            </w:pPr>
            <w:proofErr w:type="gramStart"/>
            <w:r>
              <w:t>il</w:t>
            </w:r>
            <w:proofErr w:type="gramEnd"/>
            <w:r>
              <w:t xml:space="preserve"> Consiglio di Amministrazione della Fondazione è costituito da 8 consiglieri di diritto, 7 consiglieri compreso il Presidente, vengono eletti ogni tre anni, dall’assemblea dell’Associazione TDDM. </w:t>
            </w:r>
          </w:p>
          <w:p w:rsidR="00F44259" w:rsidRDefault="00F44259" w:rsidP="00722937">
            <w:pPr>
              <w:pStyle w:val="Paragrafoelenco"/>
              <w:numPr>
                <w:ilvl w:val="0"/>
                <w:numId w:val="7"/>
              </w:numPr>
            </w:pPr>
            <w:r>
              <w:t>Il presidente dell’Associazione assume anche l’incarico di Presidente della Fondazione.</w:t>
            </w:r>
          </w:p>
          <w:p w:rsidR="00F44259" w:rsidRDefault="00F44259" w:rsidP="00722937">
            <w:pPr>
              <w:pStyle w:val="Paragrafoelenco"/>
              <w:numPr>
                <w:ilvl w:val="0"/>
                <w:numId w:val="7"/>
              </w:numPr>
            </w:pPr>
            <w:r>
              <w:t xml:space="preserve">Il </w:t>
            </w:r>
            <w:proofErr w:type="spellStart"/>
            <w:r>
              <w:t>cda</w:t>
            </w:r>
            <w:proofErr w:type="spellEnd"/>
            <w:r>
              <w:t xml:space="preserve"> nomina ogni anno la Giunta esecutiva e ha pure facoltà di nominare consiglieri esterni per riconosciuti meriti. </w:t>
            </w:r>
          </w:p>
        </w:tc>
      </w:tr>
      <w:tr w:rsidR="005932D8" w:rsidTr="005932D8">
        <w:tc>
          <w:tcPr>
            <w:tcW w:w="1384" w:type="dxa"/>
          </w:tcPr>
          <w:p w:rsidR="005932D8" w:rsidRDefault="00124697" w:rsidP="00785400">
            <w:pPr>
              <w:jc w:val="center"/>
            </w:pPr>
            <w:r>
              <w:t>Borse di studio</w:t>
            </w:r>
          </w:p>
        </w:tc>
        <w:tc>
          <w:tcPr>
            <w:tcW w:w="8394" w:type="dxa"/>
          </w:tcPr>
          <w:p w:rsidR="005932D8" w:rsidRDefault="00124697" w:rsidP="00124697">
            <w:pPr>
              <w:jc w:val="center"/>
            </w:pPr>
            <w:r>
              <w:t>Dal 1995 al 2005 h</w:t>
            </w:r>
            <w:r w:rsidR="005932D8">
              <w:t>a erogato n. 10 borse di studio all’anno di € 500,00 ad alunni bisognosi e meritevoli</w:t>
            </w:r>
            <w:r>
              <w:t xml:space="preserve"> della scuola Media Pascoli, dove la prof.ssa Pina </w:t>
            </w:r>
            <w:proofErr w:type="spellStart"/>
            <w:r>
              <w:t>Gigliotti</w:t>
            </w:r>
            <w:proofErr w:type="spellEnd"/>
            <w:r>
              <w:t xml:space="preserve"> ha svolto la sua attività </w:t>
            </w:r>
            <w:proofErr w:type="gramStart"/>
            <w:r>
              <w:t xml:space="preserve">di </w:t>
            </w:r>
            <w:proofErr w:type="gramEnd"/>
            <w:r>
              <w:t>insegnante esemplare</w:t>
            </w:r>
          </w:p>
        </w:tc>
      </w:tr>
      <w:tr w:rsidR="005932D8" w:rsidTr="005932D8">
        <w:tc>
          <w:tcPr>
            <w:tcW w:w="1384" w:type="dxa"/>
          </w:tcPr>
          <w:p w:rsidR="005932D8" w:rsidRDefault="00124697" w:rsidP="00124697">
            <w:r>
              <w:t>Premi di studio</w:t>
            </w:r>
          </w:p>
        </w:tc>
        <w:tc>
          <w:tcPr>
            <w:tcW w:w="8394" w:type="dxa"/>
          </w:tcPr>
          <w:p w:rsidR="005932D8" w:rsidRDefault="00124697" w:rsidP="00785400">
            <w:pPr>
              <w:jc w:val="center"/>
            </w:pPr>
            <w:r>
              <w:t xml:space="preserve">Dal 1995 al 2005 ha assegnato ogni anno diversi premi di studio di € 250,00 ad alunni meritevoli di diverse scuole medie e superiori della città di Catanzaro e di alcuni paesi della </w:t>
            </w:r>
            <w:proofErr w:type="gramStart"/>
            <w:r>
              <w:t>Regione</w:t>
            </w:r>
            <w:proofErr w:type="gramEnd"/>
          </w:p>
        </w:tc>
      </w:tr>
      <w:tr w:rsidR="005932D8" w:rsidTr="005932D8">
        <w:tc>
          <w:tcPr>
            <w:tcW w:w="1384" w:type="dxa"/>
          </w:tcPr>
          <w:p w:rsidR="005932D8" w:rsidRDefault="00124697" w:rsidP="00785400">
            <w:pPr>
              <w:jc w:val="center"/>
            </w:pPr>
            <w:r>
              <w:t>Sostegno scolastico</w:t>
            </w:r>
          </w:p>
        </w:tc>
        <w:tc>
          <w:tcPr>
            <w:tcW w:w="8394" w:type="dxa"/>
          </w:tcPr>
          <w:p w:rsidR="005932D8" w:rsidRDefault="00124697" w:rsidP="00785400">
            <w:pPr>
              <w:jc w:val="center"/>
            </w:pPr>
            <w:r>
              <w:t>Ha provveduto al sostegno scolastico di alunni meritevoli e bisognosi con il pagamento di testi scolastici, abbonamenti a mezzi di trasporto, al pagamento di tasse scolastiche, etc.</w:t>
            </w:r>
          </w:p>
        </w:tc>
      </w:tr>
      <w:tr w:rsidR="005932D8" w:rsidTr="005932D8">
        <w:tc>
          <w:tcPr>
            <w:tcW w:w="1384" w:type="dxa"/>
          </w:tcPr>
          <w:p w:rsidR="005932D8" w:rsidRDefault="00124697" w:rsidP="00785400">
            <w:pPr>
              <w:jc w:val="center"/>
            </w:pPr>
            <w:r>
              <w:t>Progetti</w:t>
            </w:r>
          </w:p>
        </w:tc>
        <w:tc>
          <w:tcPr>
            <w:tcW w:w="8394" w:type="dxa"/>
          </w:tcPr>
          <w:p w:rsidR="00E31CD3" w:rsidRPr="00722937" w:rsidRDefault="00124697" w:rsidP="00124697">
            <w:pPr>
              <w:jc w:val="center"/>
              <w:rPr>
                <w:b/>
                <w:i/>
              </w:rPr>
            </w:pPr>
            <w:r w:rsidRPr="00722937">
              <w:rPr>
                <w:b/>
                <w:i/>
              </w:rPr>
              <w:t xml:space="preserve">La palestra di Pitagora </w:t>
            </w:r>
          </w:p>
          <w:p w:rsidR="00124697" w:rsidRDefault="00124697" w:rsidP="00124697">
            <w:pPr>
              <w:jc w:val="center"/>
            </w:pPr>
            <w:r>
              <w:t xml:space="preserve"> </w:t>
            </w:r>
            <w:proofErr w:type="gramStart"/>
            <w:r>
              <w:t>che</w:t>
            </w:r>
            <w:proofErr w:type="gramEnd"/>
            <w:r>
              <w:t xml:space="preserve"> ha avuto per obiettivo promuovere nei giovani la cultura scientifica</w:t>
            </w:r>
            <w:r w:rsidR="00722937">
              <w:t>,</w:t>
            </w:r>
            <w:r>
              <w:t xml:space="preserve"> quale strumento indispensabile</w:t>
            </w:r>
            <w:r w:rsidR="00722937">
              <w:t>,</w:t>
            </w:r>
            <w:r>
              <w:t xml:space="preserve"> per entrare consapevolmente nella complessa e difficile società odierna.</w:t>
            </w:r>
          </w:p>
          <w:p w:rsidR="00722937" w:rsidRDefault="00124697" w:rsidP="00722937">
            <w:r>
              <w:t>Azioni:</w:t>
            </w:r>
            <w:proofErr w:type="gramStart"/>
            <w:r>
              <w:t xml:space="preserve"> </w:t>
            </w:r>
            <w:r w:rsidR="00722937">
              <w:t xml:space="preserve">               </w:t>
            </w:r>
            <w:proofErr w:type="gramEnd"/>
          </w:p>
          <w:p w:rsidR="00124697" w:rsidRDefault="00124697" w:rsidP="00722937">
            <w:pPr>
              <w:pStyle w:val="Paragrafoelenco"/>
              <w:numPr>
                <w:ilvl w:val="0"/>
                <w:numId w:val="10"/>
              </w:numPr>
            </w:pPr>
            <w:r>
              <w:t>Seminari di studio e incontri di programmazione con i docenti</w:t>
            </w:r>
          </w:p>
          <w:p w:rsidR="00E31CD3" w:rsidRDefault="00E31CD3" w:rsidP="00722937">
            <w:pPr>
              <w:pStyle w:val="Paragrafoelenco"/>
            </w:pPr>
            <w:r>
              <w:t>Collaborazioni con le scuole</w:t>
            </w:r>
          </w:p>
          <w:p w:rsidR="00E31CD3" w:rsidRDefault="00E31CD3" w:rsidP="00722937">
            <w:pPr>
              <w:pStyle w:val="Paragrafoelenco"/>
            </w:pPr>
            <w:r>
              <w:t>Costituzione e potenziamento di una biblioteca scientifica</w:t>
            </w:r>
          </w:p>
          <w:p w:rsidR="005932D8" w:rsidRDefault="00E31CD3" w:rsidP="00722937">
            <w:pPr>
              <w:jc w:val="center"/>
            </w:pPr>
            <w:r>
              <w:lastRenderedPageBreak/>
              <w:t xml:space="preserve">Risultati: </w:t>
            </w:r>
            <w:proofErr w:type="gramStart"/>
            <w:r>
              <w:t>11</w:t>
            </w:r>
            <w:proofErr w:type="gramEnd"/>
            <w:r>
              <w:t xml:space="preserve"> allievi hanno partecipato</w:t>
            </w:r>
            <w:r w:rsidR="00722937">
              <w:t>,</w:t>
            </w:r>
            <w:r>
              <w:t xml:space="preserve"> con successo</w:t>
            </w:r>
            <w:r w:rsidR="00722937">
              <w:t>,</w:t>
            </w:r>
            <w:r>
              <w:t xml:space="preserve"> a</w:t>
            </w:r>
            <w:r w:rsidR="00124697">
              <w:t xml:space="preserve">lle Olimpiadi internazionali di matematica e fisica  presso L’università Bocconi di Milano e le gare </w:t>
            </w:r>
            <w:proofErr w:type="spellStart"/>
            <w:r w:rsidR="00124697">
              <w:t>Cangourou</w:t>
            </w:r>
            <w:proofErr w:type="spellEnd"/>
            <w:r w:rsidR="00124697">
              <w:t xml:space="preserve"> di Parigi</w:t>
            </w:r>
          </w:p>
        </w:tc>
      </w:tr>
      <w:tr w:rsidR="005932D8" w:rsidTr="005932D8">
        <w:tc>
          <w:tcPr>
            <w:tcW w:w="1384" w:type="dxa"/>
          </w:tcPr>
          <w:p w:rsidR="005932D8" w:rsidRDefault="005932D8" w:rsidP="00785400">
            <w:pPr>
              <w:jc w:val="center"/>
            </w:pPr>
          </w:p>
        </w:tc>
        <w:tc>
          <w:tcPr>
            <w:tcW w:w="8394" w:type="dxa"/>
          </w:tcPr>
          <w:p w:rsidR="00E31CD3" w:rsidRPr="00722937" w:rsidRDefault="00E31CD3" w:rsidP="00785400">
            <w:pPr>
              <w:jc w:val="center"/>
              <w:rPr>
                <w:b/>
                <w:i/>
              </w:rPr>
            </w:pPr>
            <w:r w:rsidRPr="00722937">
              <w:rPr>
                <w:b/>
                <w:i/>
              </w:rPr>
              <w:t xml:space="preserve">Progetto Enrico Fermi </w:t>
            </w:r>
          </w:p>
          <w:p w:rsidR="005932D8" w:rsidRDefault="00E31CD3" w:rsidP="00785400">
            <w:pPr>
              <w:jc w:val="center"/>
            </w:pPr>
            <w:r>
              <w:t xml:space="preserve">“La fisica </w:t>
            </w:r>
            <w:proofErr w:type="gramStart"/>
            <w:r>
              <w:t>nelle</w:t>
            </w:r>
            <w:proofErr w:type="gramEnd"/>
            <w:r>
              <w:t xml:space="preserve"> scuola”: nato in occasione del centenario della morte di Enrico Fermi. Ha interessato le scuole medie e superiori della città, l’Università della </w:t>
            </w:r>
            <w:proofErr w:type="spellStart"/>
            <w:r>
              <w:t>calabria</w:t>
            </w:r>
            <w:proofErr w:type="spellEnd"/>
            <w:r w:rsidR="00722937">
              <w:t>,</w:t>
            </w:r>
            <w:r>
              <w:t xml:space="preserve"> la scuola speciale di eccellenza di Catania e </w:t>
            </w:r>
            <w:proofErr w:type="gramStart"/>
            <w:r>
              <w:t>l’Associazione insegnanti</w:t>
            </w:r>
            <w:proofErr w:type="gramEnd"/>
            <w:r>
              <w:t xml:space="preserve"> di fisica (AIF)</w:t>
            </w:r>
          </w:p>
          <w:p w:rsidR="00E31CD3" w:rsidRDefault="00E31CD3" w:rsidP="00785400">
            <w:pPr>
              <w:jc w:val="center"/>
            </w:pPr>
            <w:r>
              <w:t>Azioni:</w:t>
            </w:r>
          </w:p>
          <w:p w:rsidR="00E31CD3" w:rsidRDefault="00E31CD3" w:rsidP="00722937">
            <w:pPr>
              <w:pStyle w:val="Paragrafoelenco"/>
              <w:numPr>
                <w:ilvl w:val="0"/>
                <w:numId w:val="10"/>
              </w:numPr>
            </w:pPr>
            <w:r>
              <w:t xml:space="preserve">Studi e approfondimenti di argomenti di fisica liberamente scelti </w:t>
            </w:r>
            <w:proofErr w:type="spellStart"/>
            <w:r>
              <w:t>dali</w:t>
            </w:r>
            <w:proofErr w:type="spellEnd"/>
            <w:r>
              <w:t xml:space="preserve"> </w:t>
            </w:r>
            <w:proofErr w:type="gramStart"/>
            <w:r>
              <w:t>alunni</w:t>
            </w:r>
            <w:proofErr w:type="gramEnd"/>
          </w:p>
          <w:p w:rsidR="00E31CD3" w:rsidRDefault="00E31CD3" w:rsidP="00722937">
            <w:pPr>
              <w:pStyle w:val="Paragrafoelenco"/>
              <w:numPr>
                <w:ilvl w:val="0"/>
                <w:numId w:val="10"/>
              </w:numPr>
            </w:pPr>
            <w:r>
              <w:t>Concorso</w:t>
            </w:r>
            <w:proofErr w:type="gramStart"/>
            <w:r>
              <w:t xml:space="preserve">  </w:t>
            </w:r>
            <w:proofErr w:type="gramEnd"/>
            <w:r>
              <w:t xml:space="preserve">a tema </w:t>
            </w:r>
          </w:p>
          <w:p w:rsidR="00E31CD3" w:rsidRDefault="00E31CD3" w:rsidP="00722937">
            <w:pPr>
              <w:pStyle w:val="Paragrafoelenco"/>
              <w:numPr>
                <w:ilvl w:val="0"/>
                <w:numId w:val="10"/>
              </w:numPr>
            </w:pPr>
            <w:proofErr w:type="gramStart"/>
            <w:r>
              <w:t xml:space="preserve">Conversazioni dibattiti sull’insegnamento della Fisica </w:t>
            </w:r>
            <w:r w:rsidR="00722937">
              <w:t xml:space="preserve">e della sua storia nelle </w:t>
            </w:r>
            <w:proofErr w:type="spellStart"/>
            <w:r w:rsidR="00722937">
              <w:t>scuole</w:t>
            </w:r>
            <w:r>
              <w:t>con</w:t>
            </w:r>
            <w:proofErr w:type="spellEnd"/>
            <w:r>
              <w:t xml:space="preserve"> particolare attenzione agli scienziati catanzaresi</w:t>
            </w:r>
            <w:proofErr w:type="gramEnd"/>
          </w:p>
          <w:p w:rsidR="00E31CD3" w:rsidRDefault="00E31CD3" w:rsidP="00722937">
            <w:pPr>
              <w:pStyle w:val="Paragrafoelenco"/>
              <w:numPr>
                <w:ilvl w:val="0"/>
                <w:numId w:val="10"/>
              </w:numPr>
            </w:pPr>
            <w:r>
              <w:t xml:space="preserve">Visite guidate presso istituti che hanno già in atto piccoli musei di attrezzature </w:t>
            </w:r>
            <w:proofErr w:type="gramStart"/>
            <w:r>
              <w:t>didattiche</w:t>
            </w:r>
            <w:proofErr w:type="gramEnd"/>
          </w:p>
        </w:tc>
      </w:tr>
      <w:tr w:rsidR="005932D8" w:rsidTr="005932D8">
        <w:tc>
          <w:tcPr>
            <w:tcW w:w="1384" w:type="dxa"/>
          </w:tcPr>
          <w:p w:rsidR="005932D8" w:rsidRDefault="005932D8" w:rsidP="00785400">
            <w:pPr>
              <w:jc w:val="center"/>
            </w:pPr>
          </w:p>
        </w:tc>
        <w:tc>
          <w:tcPr>
            <w:tcW w:w="8394" w:type="dxa"/>
          </w:tcPr>
          <w:p w:rsidR="005932D8" w:rsidRPr="00722937" w:rsidRDefault="00E31CD3" w:rsidP="00785400">
            <w:pPr>
              <w:jc w:val="center"/>
              <w:rPr>
                <w:b/>
                <w:i/>
              </w:rPr>
            </w:pPr>
            <w:r w:rsidRPr="00722937">
              <w:rPr>
                <w:b/>
                <w:i/>
              </w:rPr>
              <w:t>Il bullismo</w:t>
            </w:r>
          </w:p>
          <w:p w:rsidR="00E31CD3" w:rsidRDefault="00E31CD3" w:rsidP="00785400">
            <w:pPr>
              <w:jc w:val="center"/>
            </w:pPr>
            <w:r>
              <w:t xml:space="preserve">Un progetto elaborato per studiare un fenomeno che nelle scuole di ogni ordine e grado cresce in modo preoccupante. Ha interessato alunni della III Media e della I classe superiore degli Istituti </w:t>
            </w:r>
            <w:proofErr w:type="gramStart"/>
            <w:r>
              <w:t>di</w:t>
            </w:r>
            <w:proofErr w:type="gramEnd"/>
            <w:r>
              <w:t xml:space="preserve"> secondo grado di alcune scuole della città.</w:t>
            </w:r>
          </w:p>
          <w:p w:rsidR="00F44259" w:rsidRDefault="00F44259" w:rsidP="00785400">
            <w:pPr>
              <w:jc w:val="center"/>
            </w:pPr>
            <w:r>
              <w:t xml:space="preserve">Risultati: elaborazione di statistiche presentate alle Istituzioni </w:t>
            </w:r>
            <w:proofErr w:type="spellStart"/>
            <w:r>
              <w:t>affinchè</w:t>
            </w:r>
            <w:proofErr w:type="spellEnd"/>
            <w:r>
              <w:t xml:space="preserve"> possano trarre risorsa per programmare una seria programmazione di prevenzione dell’aggressività minorile in qualsiasi forma si presenti.</w:t>
            </w:r>
          </w:p>
        </w:tc>
      </w:tr>
      <w:tr w:rsidR="003D02C5" w:rsidTr="005932D8">
        <w:tc>
          <w:tcPr>
            <w:tcW w:w="1384" w:type="dxa"/>
          </w:tcPr>
          <w:p w:rsidR="003D02C5" w:rsidRDefault="003D02C5" w:rsidP="00785400">
            <w:pPr>
              <w:jc w:val="center"/>
            </w:pPr>
          </w:p>
        </w:tc>
        <w:tc>
          <w:tcPr>
            <w:tcW w:w="8394" w:type="dxa"/>
          </w:tcPr>
          <w:p w:rsidR="003D02C5" w:rsidRDefault="003D02C5" w:rsidP="003D02C5">
            <w:pPr>
              <w:ind w:firstLine="708"/>
              <w:rPr>
                <w:rFonts w:ascii="Calibri" w:eastAsia="Calibri" w:hAnsi="Calibri" w:cs="Times New Roman"/>
              </w:rPr>
            </w:pPr>
          </w:p>
        </w:tc>
      </w:tr>
      <w:tr w:rsidR="005932D8" w:rsidTr="005932D8">
        <w:tc>
          <w:tcPr>
            <w:tcW w:w="1384" w:type="dxa"/>
          </w:tcPr>
          <w:p w:rsidR="003D02C5" w:rsidRDefault="003D02C5" w:rsidP="00785400">
            <w:pPr>
              <w:jc w:val="center"/>
            </w:pPr>
            <w:r>
              <w:t xml:space="preserve">Dal 2009 </w:t>
            </w:r>
            <w:proofErr w:type="gramStart"/>
            <w:r>
              <w:t>ad</w:t>
            </w:r>
            <w:proofErr w:type="gramEnd"/>
            <w:r>
              <w:t xml:space="preserve"> oggi</w:t>
            </w:r>
          </w:p>
          <w:p w:rsidR="003D02C5" w:rsidRDefault="003D02C5" w:rsidP="00785400">
            <w:pPr>
              <w:jc w:val="center"/>
            </w:pPr>
          </w:p>
          <w:p w:rsidR="003D02C5" w:rsidRDefault="003D02C5" w:rsidP="00785400">
            <w:pPr>
              <w:jc w:val="center"/>
            </w:pPr>
          </w:p>
          <w:p w:rsidR="00F36D90" w:rsidRDefault="00F36D90" w:rsidP="00785400">
            <w:pPr>
              <w:jc w:val="center"/>
            </w:pPr>
          </w:p>
        </w:tc>
        <w:tc>
          <w:tcPr>
            <w:tcW w:w="8394" w:type="dxa"/>
          </w:tcPr>
          <w:p w:rsidR="003D02C5" w:rsidRDefault="00722937" w:rsidP="00F36D90">
            <w:pPr>
              <w:spacing w:after="200" w:line="276" w:lineRule="auto"/>
              <w:ind w:firstLine="7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</w:t>
            </w:r>
            <w:r w:rsidR="003D02C5">
              <w:rPr>
                <w:rFonts w:ascii="Calibri" w:eastAsia="Calibri" w:hAnsi="Calibri" w:cs="Times New Roman"/>
              </w:rPr>
              <w:t>, in partenariato</w:t>
            </w:r>
            <w:proofErr w:type="gramStart"/>
            <w:r w:rsidR="003D02C5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="003D02C5">
              <w:rPr>
                <w:rFonts w:ascii="Calibri" w:eastAsia="Calibri" w:hAnsi="Calibri" w:cs="Times New Roman"/>
              </w:rPr>
              <w:t xml:space="preserve"> a progetti promossi dall’Associazione</w:t>
            </w:r>
            <w:r w:rsidR="00F36D90">
              <w:rPr>
                <w:rFonts w:ascii="Calibri" w:eastAsia="Calibri" w:hAnsi="Calibri" w:cs="Times New Roman"/>
              </w:rPr>
              <w:t xml:space="preserve">   </w:t>
            </w:r>
            <w:r w:rsidR="003D02C5">
              <w:rPr>
                <w:rFonts w:ascii="Calibri" w:eastAsia="Calibri" w:hAnsi="Calibri" w:cs="Times New Roman"/>
              </w:rPr>
              <w:t>TDDM ed in particolare:</w:t>
            </w:r>
          </w:p>
          <w:p w:rsidR="00F36D90" w:rsidRPr="003D02C5" w:rsidRDefault="003D02C5" w:rsidP="003D02C5">
            <w:pPr>
              <w:pStyle w:val="Paragrafoelenco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  <w:r w:rsidRPr="003D02C5">
              <w:rPr>
                <w:rFonts w:ascii="Calibri" w:eastAsia="Calibri" w:hAnsi="Calibri" w:cs="Times New Roman"/>
                <w:b/>
              </w:rPr>
              <w:t>Nelle</w:t>
            </w:r>
            <w:proofErr w:type="gramStart"/>
            <w:r w:rsidR="00F36D90" w:rsidRPr="003D02C5">
              <w:rPr>
                <w:rFonts w:ascii="Calibri" w:eastAsia="Calibri" w:hAnsi="Calibri" w:cs="Times New Roman"/>
                <w:b/>
              </w:rPr>
              <w:t xml:space="preserve">  </w:t>
            </w:r>
            <w:proofErr w:type="gramEnd"/>
            <w:r w:rsidR="00F36D90" w:rsidRPr="003D02C5">
              <w:rPr>
                <w:rFonts w:ascii="Calibri" w:eastAsia="Calibri" w:hAnsi="Calibri" w:cs="Times New Roman"/>
                <w:b/>
              </w:rPr>
              <w:t>Edizioni    di “Il sapere e i Giovani”.</w:t>
            </w:r>
          </w:p>
          <w:p w:rsidR="00F36D90" w:rsidRPr="003D02C5" w:rsidRDefault="00F36D90" w:rsidP="003D02C5">
            <w:pPr>
              <w:pStyle w:val="Paragrafoelenco"/>
              <w:numPr>
                <w:ilvl w:val="0"/>
                <w:numId w:val="5"/>
              </w:numPr>
              <w:ind w:right="42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2C5">
              <w:rPr>
                <w:rFonts w:ascii="Calibri" w:eastAsia="Calibri" w:hAnsi="Calibri" w:cs="Times New Roman"/>
                <w:sz w:val="24"/>
                <w:szCs w:val="24"/>
              </w:rPr>
              <w:t>Tutte hanno riguardato la consegna di premi di studio a studenti che si sono particolarmente distinti nell’ambito scolastico.</w:t>
            </w:r>
          </w:p>
          <w:p w:rsidR="00F36D90" w:rsidRPr="003D02C5" w:rsidRDefault="00F36D90" w:rsidP="003D02C5">
            <w:pPr>
              <w:pStyle w:val="Paragrafoelenco"/>
              <w:numPr>
                <w:ilvl w:val="0"/>
                <w:numId w:val="5"/>
              </w:numPr>
              <w:ind w:right="42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2C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Ogni edizione ha avuto un tema </w:t>
            </w:r>
            <w:proofErr w:type="gramStart"/>
            <w:r w:rsidRPr="003D02C5">
              <w:rPr>
                <w:rFonts w:ascii="Calibri" w:eastAsia="Calibri" w:hAnsi="Calibri" w:cs="Times New Roman"/>
                <w:i/>
                <w:sz w:val="24"/>
                <w:szCs w:val="24"/>
              </w:rPr>
              <w:t>(</w:t>
            </w:r>
            <w:r w:rsidRPr="003D02C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End"/>
            <w:r w:rsidRPr="003D02C5">
              <w:rPr>
                <w:rFonts w:ascii="Calibri" w:eastAsia="Calibri" w:hAnsi="Calibri" w:cs="Times New Roman"/>
                <w:sz w:val="24"/>
                <w:szCs w:val="24"/>
              </w:rPr>
              <w:t xml:space="preserve">Realtà quotidiana, diritti, desideri, </w:t>
            </w:r>
            <w:proofErr w:type="spellStart"/>
            <w:r w:rsidRPr="003D02C5">
              <w:rPr>
                <w:rFonts w:ascii="Calibri" w:eastAsia="Calibri" w:hAnsi="Calibri" w:cs="Times New Roman"/>
                <w:sz w:val="24"/>
                <w:szCs w:val="24"/>
              </w:rPr>
              <w:t>sogni…</w:t>
            </w:r>
            <w:proofErr w:type="spellEnd"/>
            <w:r w:rsidRPr="003D02C5">
              <w:rPr>
                <w:rFonts w:ascii="Calibri" w:eastAsia="Calibri" w:hAnsi="Calibri" w:cs="Times New Roman"/>
                <w:sz w:val="24"/>
                <w:szCs w:val="24"/>
              </w:rPr>
              <w:t xml:space="preserve"> “La città, i ragazzi </w:t>
            </w:r>
            <w:proofErr w:type="spellStart"/>
            <w:r w:rsidRPr="003D02C5">
              <w:rPr>
                <w:rFonts w:ascii="Calibri" w:eastAsia="Calibri" w:hAnsi="Calibri" w:cs="Times New Roman"/>
                <w:sz w:val="24"/>
                <w:szCs w:val="24"/>
              </w:rPr>
              <w:t>e…</w:t>
            </w:r>
            <w:proofErr w:type="spellEnd"/>
            <w:r w:rsidRPr="003D02C5">
              <w:rPr>
                <w:rFonts w:ascii="Calibri" w:eastAsia="Calibri" w:hAnsi="Calibri" w:cs="Times New Roman"/>
                <w:sz w:val="24"/>
                <w:szCs w:val="24"/>
              </w:rPr>
              <w:t xml:space="preserve"> lo spazio che vorrei”… Per crescere in sicurezza etc.)con lo scopo di offrire un tangibile e fattivo contributo agli amministratori locali per la realizzazione di interventi sociali sempre più condivisi e partecipati, che consentano di sperare in una rigenerazione degli anonimi e trascurati spazi cittadini.  </w:t>
            </w:r>
          </w:p>
          <w:p w:rsidR="00F36D90" w:rsidRDefault="003D02C5" w:rsidP="003D02C5">
            <w:pPr>
              <w:pStyle w:val="Paragrafoelenco"/>
              <w:numPr>
                <w:ilvl w:val="0"/>
                <w:numId w:val="4"/>
              </w:numPr>
              <w:ind w:right="425"/>
              <w:jc w:val="both"/>
            </w:pPr>
            <w:r w:rsidRPr="003D02C5">
              <w:rPr>
                <w:rFonts w:ascii="Calibri" w:eastAsia="Calibri" w:hAnsi="Calibri" w:cs="Times New Roman"/>
                <w:b/>
                <w:sz w:val="24"/>
                <w:szCs w:val="24"/>
              </w:rPr>
              <w:t>Nell’ambito del progetto Ospedale allegro e</w:t>
            </w:r>
            <w:proofErr w:type="gramStart"/>
            <w:r w:rsidRPr="003D02C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3D02C5">
              <w:rPr>
                <w:b/>
              </w:rPr>
              <w:t xml:space="preserve"> </w:t>
            </w:r>
            <w:proofErr w:type="gramEnd"/>
            <w:r w:rsidRPr="003D02C5">
              <w:rPr>
                <w:b/>
              </w:rPr>
              <w:t xml:space="preserve">presso il Convitto </w:t>
            </w:r>
            <w:proofErr w:type="spellStart"/>
            <w:r w:rsidRPr="003D02C5">
              <w:rPr>
                <w:b/>
              </w:rPr>
              <w:t>Galluppi</w:t>
            </w:r>
            <w:proofErr w:type="spellEnd"/>
            <w:r w:rsidRPr="003D02C5">
              <w:rPr>
                <w:b/>
              </w:rPr>
              <w:t xml:space="preserve"> di Catanzaro</w:t>
            </w:r>
            <w:r>
              <w:rPr>
                <w:b/>
              </w:rPr>
              <w:t>:</w:t>
            </w:r>
            <w:r>
              <w:t xml:space="preserve"> gestione di un laboratorio di lettura. </w:t>
            </w:r>
            <w:proofErr w:type="gramStart"/>
            <w:r>
              <w:t xml:space="preserve">Destinatari i bambini ricoverati nei reparti pediatrici dell’Azienda Ospedaliera Pugliese </w:t>
            </w:r>
            <w:proofErr w:type="spellStart"/>
            <w:r>
              <w:t>Ciaccio</w:t>
            </w:r>
            <w:proofErr w:type="spellEnd"/>
            <w:r>
              <w:t xml:space="preserve"> di Catanzaro e gli alunni della scuola pri</w:t>
            </w:r>
            <w:proofErr w:type="gramEnd"/>
            <w:r>
              <w:t>maria.</w:t>
            </w:r>
          </w:p>
          <w:p w:rsidR="003D02C5" w:rsidRPr="003D02C5" w:rsidRDefault="003D02C5" w:rsidP="003D02C5">
            <w:pPr>
              <w:pStyle w:val="Paragrafoelenco"/>
              <w:numPr>
                <w:ilvl w:val="0"/>
                <w:numId w:val="4"/>
              </w:numPr>
              <w:ind w:right="425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2C5">
              <w:rPr>
                <w:b/>
              </w:rPr>
              <w:t>Nel centro estivo Il tappeto volante</w:t>
            </w:r>
            <w:r>
              <w:rPr>
                <w:b/>
              </w:rPr>
              <w:t>:</w:t>
            </w:r>
            <w:r>
              <w:t xml:space="preserve"> gestione del laboratorio culturale </w:t>
            </w:r>
            <w:proofErr w:type="gramStart"/>
            <w:r>
              <w:t>ed</w:t>
            </w:r>
            <w:proofErr w:type="gramEnd"/>
            <w:r>
              <w:t xml:space="preserve"> interculturale previsto nel progetto.</w:t>
            </w:r>
          </w:p>
          <w:p w:rsidR="005932D8" w:rsidRDefault="003D02C5" w:rsidP="00722937">
            <w:pPr>
              <w:ind w:left="708" w:right="425"/>
              <w:jc w:val="both"/>
            </w:pPr>
            <w:r>
              <w:t xml:space="preserve">               Destinatari </w:t>
            </w:r>
            <w:proofErr w:type="gramStart"/>
            <w:r>
              <w:t>19</w:t>
            </w:r>
            <w:proofErr w:type="gramEnd"/>
            <w:r>
              <w:t xml:space="preserve"> bambini fragili(a causa di svantaggi econ</w:t>
            </w:r>
            <w:r w:rsidR="00722937">
              <w:t>omici 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linguistici</w:t>
            </w:r>
            <w:r>
              <w:t xml:space="preserve"> dei genitori stranieri)  di età compresa tra 5 e 11 anni  </w:t>
            </w:r>
          </w:p>
        </w:tc>
      </w:tr>
      <w:tr w:rsidR="005932D8" w:rsidTr="005932D8">
        <w:tc>
          <w:tcPr>
            <w:tcW w:w="1384" w:type="dxa"/>
          </w:tcPr>
          <w:p w:rsidR="005932D8" w:rsidRDefault="005932D8" w:rsidP="00785400">
            <w:pPr>
              <w:jc w:val="center"/>
            </w:pPr>
          </w:p>
        </w:tc>
        <w:tc>
          <w:tcPr>
            <w:tcW w:w="8394" w:type="dxa"/>
          </w:tcPr>
          <w:p w:rsidR="005932D8" w:rsidRDefault="005932D8" w:rsidP="00785400">
            <w:pPr>
              <w:jc w:val="center"/>
            </w:pPr>
          </w:p>
        </w:tc>
      </w:tr>
    </w:tbl>
    <w:p w:rsidR="005932D8" w:rsidRDefault="005932D8" w:rsidP="00785400">
      <w:pPr>
        <w:jc w:val="center"/>
      </w:pPr>
    </w:p>
    <w:sectPr w:rsidR="005932D8" w:rsidSect="00283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69C"/>
    <w:multiLevelType w:val="hybridMultilevel"/>
    <w:tmpl w:val="1CC64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26D"/>
    <w:multiLevelType w:val="hybridMultilevel"/>
    <w:tmpl w:val="DA8C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20E7"/>
    <w:multiLevelType w:val="hybridMultilevel"/>
    <w:tmpl w:val="B35ED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2F5C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F629F"/>
    <w:multiLevelType w:val="hybridMultilevel"/>
    <w:tmpl w:val="6FE04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3E46"/>
    <w:multiLevelType w:val="hybridMultilevel"/>
    <w:tmpl w:val="97C4D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22B2A"/>
    <w:multiLevelType w:val="hybridMultilevel"/>
    <w:tmpl w:val="62D62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1376"/>
    <w:multiLevelType w:val="hybridMultilevel"/>
    <w:tmpl w:val="842CEA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174AA"/>
    <w:multiLevelType w:val="hybridMultilevel"/>
    <w:tmpl w:val="D5384AC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785400"/>
    <w:rsid w:val="000735BD"/>
    <w:rsid w:val="00124697"/>
    <w:rsid w:val="002838D5"/>
    <w:rsid w:val="003D02C5"/>
    <w:rsid w:val="005932D8"/>
    <w:rsid w:val="005D7036"/>
    <w:rsid w:val="00722937"/>
    <w:rsid w:val="00785400"/>
    <w:rsid w:val="00D9271B"/>
    <w:rsid w:val="00E31CD3"/>
    <w:rsid w:val="00F36D90"/>
    <w:rsid w:val="00F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Vitaliano</dc:creator>
  <cp:lastModifiedBy>Vitaliano</cp:lastModifiedBy>
  <cp:revision>2</cp:revision>
  <dcterms:created xsi:type="dcterms:W3CDTF">2020-09-30T08:16:00Z</dcterms:created>
  <dcterms:modified xsi:type="dcterms:W3CDTF">2020-09-30T08:16:00Z</dcterms:modified>
</cp:coreProperties>
</file>